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5A9B0" w14:textId="2D72F698" w:rsidR="007560B7" w:rsidRDefault="007560B7" w:rsidP="007560B7">
      <w:pPr>
        <w:tabs>
          <w:tab w:val="center" w:pos="4536"/>
          <w:tab w:val="right" w:pos="828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#86</w:t>
      </w:r>
      <w:r>
        <w:rPr>
          <w:rFonts w:ascii="Arial" w:hAnsi="Arial" w:cs="Arial"/>
          <w:b/>
          <w:bCs/>
          <w:sz w:val="28"/>
        </w:rPr>
        <w:tab/>
      </w:r>
      <w:r>
        <w:rPr>
          <w:rFonts w:ascii="Arial" w:hAnsi="Arial" w:cs="Arial"/>
          <w:b/>
          <w:bCs/>
          <w:sz w:val="28"/>
        </w:rPr>
        <w:tab/>
      </w:r>
      <w:r w:rsidR="00335B11" w:rsidRPr="00335B11">
        <w:rPr>
          <w:rFonts w:ascii="Arial" w:hAnsi="Arial" w:cs="Arial"/>
          <w:b/>
          <w:bCs/>
          <w:sz w:val="28"/>
        </w:rPr>
        <w:t>R1-</w:t>
      </w:r>
      <w:r w:rsidR="00180683">
        <w:rPr>
          <w:rFonts w:ascii="Arial" w:hAnsi="Arial" w:cs="Arial"/>
          <w:b/>
          <w:bCs/>
          <w:sz w:val="28"/>
        </w:rPr>
        <w:t>16630</w:t>
      </w:r>
      <w:r w:rsidR="00AF23DF">
        <w:rPr>
          <w:rFonts w:ascii="Arial" w:hAnsi="Arial" w:cs="Arial"/>
          <w:b/>
          <w:bCs/>
          <w:sz w:val="28"/>
        </w:rPr>
        <w:t>6</w:t>
      </w:r>
    </w:p>
    <w:p w14:paraId="40BBAF56" w14:textId="77777777" w:rsidR="007560B7" w:rsidRDefault="007560B7" w:rsidP="007560B7">
      <w:pPr>
        <w:tabs>
          <w:tab w:val="center" w:pos="4536"/>
          <w:tab w:val="right" w:pos="8280"/>
          <w:tab w:val="right" w:pos="9781"/>
        </w:tabs>
        <w:ind w:right="-58"/>
        <w:rPr>
          <w:rFonts w:ascii="Arial" w:hAnsi="Arial" w:cs="Arial"/>
          <w:b/>
          <w:bCs/>
          <w:sz w:val="28"/>
        </w:rPr>
      </w:pPr>
      <w:r>
        <w:rPr>
          <w:rFonts w:ascii="Arial" w:hAnsi="Arial" w:cs="Arial"/>
          <w:b/>
          <w:bCs/>
          <w:sz w:val="28"/>
        </w:rPr>
        <w:t>Gothenburg, Sweden 22</w:t>
      </w:r>
      <w:r>
        <w:rPr>
          <w:rFonts w:ascii="Arial" w:hAnsi="Arial" w:cs="Arial"/>
          <w:b/>
          <w:bCs/>
          <w:sz w:val="28"/>
          <w:vertAlign w:val="superscript"/>
        </w:rPr>
        <w:t>nd</w:t>
      </w:r>
      <w:r>
        <w:rPr>
          <w:rFonts w:ascii="Arial" w:hAnsi="Arial" w:cs="Arial"/>
          <w:b/>
          <w:bCs/>
          <w:sz w:val="28"/>
        </w:rPr>
        <w:t xml:space="preserve"> - 26</w:t>
      </w:r>
      <w:r>
        <w:rPr>
          <w:rFonts w:ascii="Arial" w:hAnsi="Arial" w:cs="Arial"/>
          <w:b/>
          <w:bCs/>
          <w:sz w:val="28"/>
          <w:vertAlign w:val="superscript"/>
        </w:rPr>
        <w:t>th</w:t>
      </w:r>
      <w:r>
        <w:rPr>
          <w:rFonts w:ascii="Arial" w:hAnsi="Arial" w:cs="Arial"/>
          <w:b/>
          <w:bCs/>
          <w:sz w:val="28"/>
        </w:rPr>
        <w:t xml:space="preserve"> August 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4F144FD6"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7.2.</w:t>
      </w:r>
      <w:r w:rsidR="0047204B">
        <w:rPr>
          <w:rFonts w:ascii="Arial" w:hAnsi="Arial" w:cs="Arial"/>
          <w:snapToGrid w:val="0"/>
          <w:sz w:val="24"/>
        </w:rPr>
        <w:t>11.</w:t>
      </w:r>
      <w:r w:rsidR="00AF23DF">
        <w:rPr>
          <w:rFonts w:ascii="Arial" w:hAnsi="Arial" w:cs="Arial"/>
          <w:snapToGrid w:val="0"/>
          <w:sz w:val="24"/>
        </w:rPr>
        <w:t>3</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28C4B1DC"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AF23DF">
        <w:rPr>
          <w:rFonts w:ascii="Arial" w:hAnsi="Arial" w:cs="Arial"/>
          <w:snapToGrid w:val="0"/>
          <w:sz w:val="24"/>
        </w:rPr>
        <w:t>Non-anchor PRB enhancements</w:t>
      </w:r>
    </w:p>
    <w:p w14:paraId="62BEAD57" w14:textId="7FEE7D64"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15B707" w14:textId="26374BF9" w:rsidR="006F5C8E"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RAN#7</w:t>
      </w:r>
      <w:r w:rsidR="0050693F">
        <w:rPr>
          <w:rFonts w:ascii="Times New Roman"/>
          <w:snapToGrid w:val="0"/>
          <w:kern w:val="0"/>
          <w:sz w:val="22"/>
          <w:szCs w:val="22"/>
          <w:lang w:val="en-GB"/>
        </w:rPr>
        <w:t>2</w:t>
      </w:r>
      <w:r>
        <w:rPr>
          <w:rFonts w:ascii="Times New Roman"/>
          <w:snapToGrid w:val="0"/>
          <w:kern w:val="0"/>
          <w:sz w:val="22"/>
          <w:szCs w:val="22"/>
          <w:lang w:val="en-GB"/>
        </w:rPr>
        <w:t xml:space="preserve"> a new work item (WI) named </w:t>
      </w:r>
      <w:r w:rsidR="0047204B">
        <w:rPr>
          <w:rFonts w:ascii="Times New Roman"/>
          <w:i/>
          <w:snapToGrid w:val="0"/>
          <w:kern w:val="0"/>
          <w:sz w:val="22"/>
          <w:szCs w:val="22"/>
          <w:lang w:val="en-GB"/>
        </w:rPr>
        <w:t>enhancements of NB-</w:t>
      </w:r>
      <w:proofErr w:type="spellStart"/>
      <w:r w:rsidR="0047204B">
        <w:rPr>
          <w:rFonts w:ascii="Times New Roman"/>
          <w:i/>
          <w:snapToGrid w:val="0"/>
          <w:kern w:val="0"/>
          <w:sz w:val="22"/>
          <w:szCs w:val="22"/>
          <w:lang w:val="en-GB"/>
        </w:rPr>
        <w:t>IoT</w:t>
      </w:r>
      <w:proofErr w:type="spellEnd"/>
      <w:r w:rsidR="0050693F">
        <w:rPr>
          <w:rFonts w:ascii="Times New Roman"/>
          <w:i/>
          <w:snapToGrid w:val="0"/>
          <w:kern w:val="0"/>
          <w:sz w:val="22"/>
          <w:szCs w:val="22"/>
          <w:lang w:val="en-GB"/>
        </w:rPr>
        <w:t xml:space="preserve"> </w:t>
      </w:r>
      <w:r>
        <w:rPr>
          <w:rFonts w:ascii="Times New Roman"/>
          <w:snapToGrid w:val="0"/>
          <w:kern w:val="0"/>
          <w:sz w:val="22"/>
          <w:szCs w:val="22"/>
          <w:lang w:val="en-GB"/>
        </w:rPr>
        <w:t xml:space="preserve"> [1] was introduced. </w:t>
      </w:r>
      <w:r w:rsidR="00FF47FD">
        <w:rPr>
          <w:rFonts w:ascii="Times New Roman"/>
          <w:snapToGrid w:val="0"/>
          <w:kern w:val="0"/>
          <w:sz w:val="22"/>
          <w:szCs w:val="22"/>
          <w:lang w:val="en-GB"/>
        </w:rPr>
        <w:t xml:space="preserve">The objectives of the WI include the support of positioning, multicast, </w:t>
      </w:r>
      <w:r w:rsidR="0047204B">
        <w:rPr>
          <w:rFonts w:ascii="Times New Roman"/>
          <w:snapToGrid w:val="0"/>
          <w:kern w:val="0"/>
          <w:sz w:val="22"/>
          <w:szCs w:val="22"/>
          <w:lang w:val="en-GB"/>
        </w:rPr>
        <w:t>non-anchor PRB enhancements, mobility and new power classes</w:t>
      </w:r>
      <w:r w:rsidR="00FF47FD">
        <w:rPr>
          <w:rFonts w:ascii="Times New Roman"/>
          <w:snapToGrid w:val="0"/>
          <w:kern w:val="0"/>
          <w:sz w:val="22"/>
          <w:szCs w:val="22"/>
          <w:lang w:val="en-GB"/>
        </w:rPr>
        <w:t>.</w:t>
      </w:r>
    </w:p>
    <w:p w14:paraId="572EC5FB" w14:textId="77777777" w:rsidR="006F5C8E" w:rsidRDefault="006F5C8E" w:rsidP="00111B9A">
      <w:pPr>
        <w:overflowPunct w:val="0"/>
        <w:adjustRightInd w:val="0"/>
        <w:spacing w:after="120"/>
        <w:contextualSpacing/>
        <w:textAlignment w:val="baseline"/>
        <w:rPr>
          <w:rFonts w:ascii="Times New Roman"/>
          <w:snapToGrid w:val="0"/>
          <w:kern w:val="0"/>
          <w:sz w:val="22"/>
          <w:szCs w:val="22"/>
          <w:lang w:val="en-GB"/>
        </w:rPr>
      </w:pPr>
    </w:p>
    <w:p w14:paraId="4AF8E9B7" w14:textId="044AF205"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this document we provide our views on the support of </w:t>
      </w:r>
      <w:r w:rsidR="00AF23DF">
        <w:rPr>
          <w:rFonts w:ascii="Times New Roman"/>
          <w:snapToGrid w:val="0"/>
          <w:kern w:val="0"/>
          <w:sz w:val="22"/>
          <w:szCs w:val="22"/>
          <w:lang w:val="en-GB"/>
        </w:rPr>
        <w:t>paging in non-anchor PRBs</w:t>
      </w:r>
      <w:r w:rsidR="00A33FC8">
        <w:rPr>
          <w:rFonts w:ascii="Times New Roman"/>
          <w:snapToGrid w:val="0"/>
          <w:kern w:val="0"/>
          <w:sz w:val="22"/>
          <w:szCs w:val="22"/>
          <w:lang w:val="en-GB"/>
        </w:rPr>
        <w:t>.</w:t>
      </w:r>
    </w:p>
    <w:p w14:paraId="225AC796" w14:textId="77777777" w:rsidR="00D57529" w:rsidRPr="00111B9A" w:rsidRDefault="00D57529" w:rsidP="00D57529">
      <w:pPr>
        <w:pStyle w:val="LGTdoc0"/>
        <w:spacing w:afterLines="0" w:after="120" w:line="240" w:lineRule="auto"/>
        <w:ind w:left="792"/>
        <w:rPr>
          <w:szCs w:val="22"/>
        </w:rPr>
      </w:pPr>
    </w:p>
    <w:p w14:paraId="21C99EB9" w14:textId="79AC155B" w:rsidR="00180683" w:rsidRDefault="00AF23DF" w:rsidP="00180683">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Support of paging in non-anchor PRBs</w:t>
      </w:r>
    </w:p>
    <w:p w14:paraId="15BFFDA8" w14:textId="522020DB" w:rsidR="00AF23DF" w:rsidRPr="00AF23DF" w:rsidRDefault="00AF23DF" w:rsidP="00AF23DF">
      <w:pPr>
        <w:pStyle w:val="LGTdoc1"/>
        <w:spacing w:beforeLines="0" w:before="120" w:after="220" w:afterAutospacing="0"/>
        <w:rPr>
          <w:b w:val="0"/>
          <w:sz w:val="22"/>
          <w:szCs w:val="22"/>
        </w:rPr>
      </w:pPr>
      <w:r>
        <w:rPr>
          <w:b w:val="0"/>
          <w:sz w:val="22"/>
          <w:szCs w:val="22"/>
        </w:rPr>
        <w:t>Supporting paging transmission in non-anchor PRBs result in an increase of the paging capacity for a particular in-band deployment. For example, adding one more PRB for paging doubles (or even more, if we remove the overhead of SIBs/NPSS/NSSS/MIB) the amount of UEs that can be paged in a particular time instant. One of the main design aspects to effectively support paging is how to distribute the UEs across the different PRBs, and how to manage the paging resources in the most efficient way.</w:t>
      </w:r>
    </w:p>
    <w:p w14:paraId="3607FE70" w14:textId="2BD7E198" w:rsidR="00AF23DF" w:rsidRDefault="00AF23DF" w:rsidP="00AF23DF">
      <w:pPr>
        <w:pStyle w:val="LGTdoc1"/>
        <w:numPr>
          <w:ilvl w:val="1"/>
          <w:numId w:val="3"/>
        </w:numPr>
        <w:spacing w:beforeLines="0" w:before="120" w:after="220" w:afterAutospacing="0"/>
        <w:rPr>
          <w:rFonts w:ascii="Arial" w:hAnsi="Arial" w:cs="Arial"/>
          <w:lang w:val="en-US"/>
        </w:rPr>
      </w:pPr>
      <w:r>
        <w:rPr>
          <w:rFonts w:ascii="Arial" w:hAnsi="Arial" w:cs="Arial"/>
          <w:lang w:val="en-US"/>
        </w:rPr>
        <w:t>Options for PRB selection</w:t>
      </w:r>
    </w:p>
    <w:p w14:paraId="61F0AAA6" w14:textId="77777777" w:rsidR="008217EF" w:rsidRDefault="00AF23DF" w:rsidP="00AF23DF">
      <w:pPr>
        <w:pStyle w:val="LGTdoc1"/>
        <w:spacing w:beforeLines="0" w:before="120" w:after="220" w:afterAutospacing="0"/>
        <w:ind w:left="90"/>
        <w:rPr>
          <w:b w:val="0"/>
          <w:sz w:val="22"/>
          <w:szCs w:val="22"/>
        </w:rPr>
      </w:pPr>
      <w:r>
        <w:rPr>
          <w:b w:val="0"/>
          <w:sz w:val="22"/>
          <w:szCs w:val="22"/>
        </w:rPr>
        <w:t xml:space="preserve">Unlike connected mode procedures, for which the network can dynamically move the UEs to non-anchor PRB, paging procedures require some pre-arranged scheme to determine the paging PRB at the UE and </w:t>
      </w:r>
      <w:proofErr w:type="spellStart"/>
      <w:r>
        <w:rPr>
          <w:b w:val="0"/>
          <w:sz w:val="22"/>
          <w:szCs w:val="22"/>
        </w:rPr>
        <w:t>eNB</w:t>
      </w:r>
      <w:proofErr w:type="spellEnd"/>
      <w:r>
        <w:rPr>
          <w:b w:val="0"/>
          <w:sz w:val="22"/>
          <w:szCs w:val="22"/>
        </w:rPr>
        <w:t xml:space="preserve"> sides. </w:t>
      </w:r>
      <w:r w:rsidR="008217EF">
        <w:rPr>
          <w:b w:val="0"/>
          <w:sz w:val="22"/>
          <w:szCs w:val="22"/>
        </w:rPr>
        <w:t xml:space="preserve">Two examples of this PRB selection scheme are based on UE_ID (similar to </w:t>
      </w:r>
      <w:proofErr w:type="spellStart"/>
      <w:r w:rsidR="008217EF">
        <w:rPr>
          <w:b w:val="0"/>
          <w:sz w:val="22"/>
          <w:szCs w:val="22"/>
        </w:rPr>
        <w:t>eMTC</w:t>
      </w:r>
      <w:proofErr w:type="spellEnd"/>
      <w:r w:rsidR="008217EF">
        <w:rPr>
          <w:b w:val="0"/>
          <w:sz w:val="22"/>
          <w:szCs w:val="22"/>
        </w:rPr>
        <w:t>) or based on coverage enhancement level:</w:t>
      </w:r>
    </w:p>
    <w:p w14:paraId="667AF2C3" w14:textId="6B58BAF2" w:rsidR="00AF23DF" w:rsidRPr="008217EF" w:rsidRDefault="008217EF" w:rsidP="008217EF">
      <w:pPr>
        <w:pStyle w:val="LGTdoc1"/>
        <w:numPr>
          <w:ilvl w:val="0"/>
          <w:numId w:val="12"/>
        </w:numPr>
        <w:spacing w:beforeLines="0" w:before="120" w:after="220" w:afterAutospacing="0"/>
        <w:rPr>
          <w:rFonts w:ascii="Arial" w:hAnsi="Arial" w:cs="Arial"/>
          <w:u w:val="single"/>
          <w:lang w:val="en-US"/>
        </w:rPr>
      </w:pPr>
      <w:r w:rsidRPr="008217EF">
        <w:rPr>
          <w:b w:val="0"/>
          <w:sz w:val="22"/>
          <w:szCs w:val="22"/>
          <w:u w:val="single"/>
        </w:rPr>
        <w:t>Coverage enhancement level</w:t>
      </w:r>
      <w:r>
        <w:rPr>
          <w:b w:val="0"/>
          <w:sz w:val="22"/>
          <w:szCs w:val="22"/>
          <w:u w:val="single"/>
        </w:rPr>
        <w:t xml:space="preserve"> based:</w:t>
      </w:r>
      <w:r>
        <w:rPr>
          <w:b w:val="0"/>
          <w:sz w:val="22"/>
          <w:szCs w:val="22"/>
        </w:rPr>
        <w:t xml:space="preserve"> Selecting the paging PRB based on coverage enhancement offers some obvious advantages, such as grouping of UEs according to its coverage level (so that the number of repetitions is targeting this coverage level, and not more). The main drawback of this approach is that the UE may move between different coverage levels while in idle mode without the </w:t>
      </w:r>
      <w:proofErr w:type="spellStart"/>
      <w:r>
        <w:rPr>
          <w:b w:val="0"/>
          <w:sz w:val="22"/>
          <w:szCs w:val="22"/>
        </w:rPr>
        <w:t>eNB</w:t>
      </w:r>
      <w:proofErr w:type="spellEnd"/>
      <w:r>
        <w:rPr>
          <w:b w:val="0"/>
          <w:sz w:val="22"/>
          <w:szCs w:val="22"/>
        </w:rPr>
        <w:t xml:space="preserve"> knowing it. This may create misalignment between UE and </w:t>
      </w:r>
      <w:proofErr w:type="spellStart"/>
      <w:r>
        <w:rPr>
          <w:b w:val="0"/>
          <w:sz w:val="22"/>
          <w:szCs w:val="22"/>
        </w:rPr>
        <w:t>eNB</w:t>
      </w:r>
      <w:proofErr w:type="spellEnd"/>
      <w:r>
        <w:rPr>
          <w:b w:val="0"/>
          <w:sz w:val="22"/>
          <w:szCs w:val="22"/>
        </w:rPr>
        <w:t xml:space="preserve"> (e.g., the UE may be paged in a particular PRB but may be monitoring a different one). A solution to this issue is to force the UE to inform the network every time it changes coverage level, but this would lead to increase power consumption at the UE side.</w:t>
      </w:r>
    </w:p>
    <w:p w14:paraId="01BCB85D" w14:textId="2264297C" w:rsidR="008217EF" w:rsidRPr="008217EF" w:rsidRDefault="008217EF" w:rsidP="008217EF">
      <w:pPr>
        <w:pStyle w:val="LGTdoc1"/>
        <w:numPr>
          <w:ilvl w:val="0"/>
          <w:numId w:val="12"/>
        </w:numPr>
        <w:spacing w:beforeLines="0" w:before="120" w:after="220" w:afterAutospacing="0"/>
        <w:rPr>
          <w:rFonts w:ascii="Arial" w:hAnsi="Arial" w:cs="Arial"/>
          <w:u w:val="single"/>
          <w:lang w:val="en-US"/>
        </w:rPr>
      </w:pPr>
      <w:r>
        <w:rPr>
          <w:b w:val="0"/>
          <w:sz w:val="22"/>
          <w:szCs w:val="22"/>
          <w:u w:val="single"/>
          <w:lang w:val="en-US"/>
        </w:rPr>
        <w:t xml:space="preserve">UE_ID based: </w:t>
      </w:r>
      <w:r>
        <w:rPr>
          <w:b w:val="0"/>
          <w:sz w:val="22"/>
          <w:szCs w:val="22"/>
          <w:lang w:val="en-US"/>
        </w:rPr>
        <w:t xml:space="preserve">Under this approach, the UE selects the paging PRB based on its UE_ID, and regardless of its coverage level. This results in an increase of the paging capacity equivalent to that of increasing the number of paging occasions. With this method, the UE and </w:t>
      </w:r>
      <w:proofErr w:type="spellStart"/>
      <w:r>
        <w:rPr>
          <w:b w:val="0"/>
          <w:sz w:val="22"/>
          <w:szCs w:val="22"/>
          <w:lang w:val="en-US"/>
        </w:rPr>
        <w:t>eNB</w:t>
      </w:r>
      <w:proofErr w:type="spellEnd"/>
      <w:r>
        <w:rPr>
          <w:b w:val="0"/>
          <w:sz w:val="22"/>
          <w:szCs w:val="22"/>
          <w:lang w:val="en-US"/>
        </w:rPr>
        <w:t xml:space="preserve"> are always in sync about the PRB the UE would be monitoring, since the UE_ID is contained in the paging message from the MME and, therefore, the </w:t>
      </w:r>
      <w:proofErr w:type="spellStart"/>
      <w:r>
        <w:rPr>
          <w:b w:val="0"/>
          <w:sz w:val="22"/>
          <w:szCs w:val="22"/>
          <w:lang w:val="en-US"/>
        </w:rPr>
        <w:t>eNB</w:t>
      </w:r>
      <w:proofErr w:type="spellEnd"/>
      <w:r>
        <w:rPr>
          <w:b w:val="0"/>
          <w:sz w:val="22"/>
          <w:szCs w:val="22"/>
          <w:lang w:val="en-US"/>
        </w:rPr>
        <w:t xml:space="preserve"> can determine the corresponding paging PRB. The main drawback of this approach is that it does not enable grouping of UEs by coverage level.</w:t>
      </w:r>
    </w:p>
    <w:p w14:paraId="0D0F838C" w14:textId="5652881B" w:rsidR="008217EF" w:rsidRPr="008217EF" w:rsidRDefault="008217EF" w:rsidP="008217EF">
      <w:pPr>
        <w:pStyle w:val="LGTdoc1"/>
        <w:spacing w:beforeLines="0" w:before="120" w:after="220" w:afterAutospacing="0"/>
        <w:ind w:left="90"/>
        <w:rPr>
          <w:rFonts w:ascii="Arial" w:hAnsi="Arial" w:cs="Arial"/>
          <w:lang w:val="en-US"/>
        </w:rPr>
      </w:pPr>
      <w:r w:rsidRPr="008217EF">
        <w:rPr>
          <w:b w:val="0"/>
          <w:sz w:val="22"/>
          <w:szCs w:val="22"/>
          <w:lang w:val="en-US"/>
        </w:rPr>
        <w:t>Since</w:t>
      </w:r>
      <w:r>
        <w:rPr>
          <w:b w:val="0"/>
          <w:sz w:val="22"/>
          <w:szCs w:val="22"/>
          <w:lang w:val="en-US"/>
        </w:rPr>
        <w:t xml:space="preserve"> a solution based on CE level would create misalignment between UE and </w:t>
      </w:r>
      <w:proofErr w:type="spellStart"/>
      <w:r>
        <w:rPr>
          <w:b w:val="0"/>
          <w:sz w:val="22"/>
          <w:szCs w:val="22"/>
          <w:lang w:val="en-US"/>
        </w:rPr>
        <w:t>eNB</w:t>
      </w:r>
      <w:proofErr w:type="spellEnd"/>
      <w:r>
        <w:rPr>
          <w:b w:val="0"/>
          <w:sz w:val="22"/>
          <w:szCs w:val="22"/>
          <w:lang w:val="en-US"/>
        </w:rPr>
        <w:t xml:space="preserve">, or additional overhead, we propose to follow a similar approach as </w:t>
      </w:r>
      <w:proofErr w:type="spellStart"/>
      <w:r>
        <w:rPr>
          <w:b w:val="0"/>
          <w:sz w:val="22"/>
          <w:szCs w:val="22"/>
          <w:lang w:val="en-US"/>
        </w:rPr>
        <w:t>eMTC</w:t>
      </w:r>
      <w:proofErr w:type="spellEnd"/>
      <w:r>
        <w:rPr>
          <w:b w:val="0"/>
          <w:sz w:val="22"/>
          <w:szCs w:val="22"/>
          <w:lang w:val="en-US"/>
        </w:rPr>
        <w:t xml:space="preserve"> and determine the paging PRB based on UE_ID.</w:t>
      </w:r>
    </w:p>
    <w:p w14:paraId="258339AD" w14:textId="79354494" w:rsidR="008217EF" w:rsidRDefault="008217EF" w:rsidP="008217EF">
      <w:pPr>
        <w:pStyle w:val="LGTdoc1"/>
        <w:spacing w:beforeLines="0" w:before="120" w:after="220" w:afterAutospacing="0"/>
        <w:rPr>
          <w:sz w:val="22"/>
          <w:szCs w:val="22"/>
        </w:rPr>
      </w:pPr>
      <w:r w:rsidRPr="008217EF">
        <w:rPr>
          <w:sz w:val="22"/>
          <w:szCs w:val="22"/>
          <w:u w:val="single"/>
        </w:rPr>
        <w:t>Proposal 1:</w:t>
      </w:r>
      <w:r>
        <w:rPr>
          <w:sz w:val="22"/>
          <w:szCs w:val="22"/>
        </w:rPr>
        <w:t xml:space="preserve"> Paging PRB selection is based on UE_ID, similar to </w:t>
      </w:r>
      <w:proofErr w:type="spellStart"/>
      <w:r>
        <w:rPr>
          <w:sz w:val="22"/>
          <w:szCs w:val="22"/>
        </w:rPr>
        <w:t>eMTC</w:t>
      </w:r>
      <w:proofErr w:type="spellEnd"/>
      <w:r>
        <w:rPr>
          <w:sz w:val="22"/>
          <w:szCs w:val="22"/>
        </w:rPr>
        <w:t>.</w:t>
      </w:r>
    </w:p>
    <w:p w14:paraId="779833E3" w14:textId="77777777" w:rsidR="008217EF" w:rsidRPr="008217EF" w:rsidRDefault="008217EF" w:rsidP="008217EF">
      <w:pPr>
        <w:pStyle w:val="LGTdoc1"/>
        <w:spacing w:beforeLines="0" w:before="120" w:after="220" w:afterAutospacing="0"/>
        <w:rPr>
          <w:sz w:val="22"/>
          <w:szCs w:val="22"/>
        </w:rPr>
      </w:pPr>
    </w:p>
    <w:p w14:paraId="6BB8CE86" w14:textId="694A67BF" w:rsidR="00AF23DF" w:rsidRDefault="00AF23DF" w:rsidP="00AF23DF">
      <w:pPr>
        <w:pStyle w:val="LGTdoc1"/>
        <w:numPr>
          <w:ilvl w:val="1"/>
          <w:numId w:val="3"/>
        </w:numPr>
        <w:spacing w:beforeLines="0" w:before="120" w:after="220" w:afterAutospacing="0"/>
        <w:rPr>
          <w:rFonts w:ascii="Arial" w:hAnsi="Arial" w:cs="Arial"/>
          <w:lang w:val="en-US"/>
        </w:rPr>
      </w:pPr>
      <w:r>
        <w:rPr>
          <w:rFonts w:ascii="Arial" w:hAnsi="Arial" w:cs="Arial"/>
          <w:lang w:val="en-US"/>
        </w:rPr>
        <w:lastRenderedPageBreak/>
        <w:t>Sharing of UEs among PRBs</w:t>
      </w:r>
    </w:p>
    <w:p w14:paraId="7B595AA8" w14:textId="77777777" w:rsidR="008217EF" w:rsidRDefault="00AF23DF" w:rsidP="00180683">
      <w:pPr>
        <w:pStyle w:val="LGTdoc0"/>
        <w:spacing w:afterLines="0" w:after="120" w:line="240" w:lineRule="auto"/>
        <w:rPr>
          <w:szCs w:val="22"/>
        </w:rPr>
      </w:pPr>
      <w:r>
        <w:rPr>
          <w:szCs w:val="22"/>
        </w:rPr>
        <w:t xml:space="preserve">Unlike </w:t>
      </w:r>
      <w:proofErr w:type="spellStart"/>
      <w:r>
        <w:rPr>
          <w:szCs w:val="22"/>
        </w:rPr>
        <w:t>eMTC</w:t>
      </w:r>
      <w:proofErr w:type="spellEnd"/>
      <w:r>
        <w:rPr>
          <w:szCs w:val="22"/>
        </w:rPr>
        <w:t xml:space="preserve"> (which also supports paging in multiple </w:t>
      </w:r>
      <w:proofErr w:type="spellStart"/>
      <w:r>
        <w:rPr>
          <w:szCs w:val="22"/>
        </w:rPr>
        <w:t>narrowbands</w:t>
      </w:r>
      <w:proofErr w:type="spellEnd"/>
      <w:r>
        <w:rPr>
          <w:szCs w:val="22"/>
        </w:rPr>
        <w:t>), one particular characteristic of NB-</w:t>
      </w:r>
      <w:proofErr w:type="spellStart"/>
      <w:r>
        <w:rPr>
          <w:szCs w:val="22"/>
        </w:rPr>
        <w:t>IoT</w:t>
      </w:r>
      <w:proofErr w:type="spellEnd"/>
      <w:r>
        <w:rPr>
          <w:szCs w:val="22"/>
        </w:rPr>
        <w:t xml:space="preserve"> is that a subset of UEs can only be paged in the anchor PRB (Rel-13 UEs), while the rest of them may be paged in anchor and non-anchor PRB (Rel-14 and beyond UEs). </w:t>
      </w:r>
      <w:r w:rsidR="008217EF">
        <w:rPr>
          <w:szCs w:val="22"/>
        </w:rPr>
        <w:t>In general, it is desirable to have similar loading in all the paging PRBs to try to avoid blocking issues.</w:t>
      </w:r>
    </w:p>
    <w:p w14:paraId="176187F6" w14:textId="6C380D52" w:rsidR="008217EF" w:rsidRPr="008217EF" w:rsidRDefault="008217EF" w:rsidP="00180683">
      <w:pPr>
        <w:pStyle w:val="LGTdoc0"/>
        <w:spacing w:afterLines="0" w:after="120" w:line="240" w:lineRule="auto"/>
        <w:rPr>
          <w:b/>
          <w:szCs w:val="22"/>
        </w:rPr>
      </w:pPr>
      <w:r w:rsidRPr="008217EF">
        <w:rPr>
          <w:b/>
          <w:szCs w:val="22"/>
          <w:u w:val="single"/>
        </w:rPr>
        <w:t>Observation 1:</w:t>
      </w:r>
      <w:r>
        <w:rPr>
          <w:b/>
          <w:szCs w:val="22"/>
        </w:rPr>
        <w:t xml:space="preserve"> It is desirable to uniformly spread the UEs across the different paging PRBs to avoid blocking issues.</w:t>
      </w:r>
    </w:p>
    <w:p w14:paraId="7ADFAED8" w14:textId="73730961" w:rsidR="00180683" w:rsidRDefault="008217EF" w:rsidP="00180683">
      <w:pPr>
        <w:pStyle w:val="LGTdoc0"/>
        <w:spacing w:afterLines="0" w:after="120" w:line="240" w:lineRule="auto"/>
        <w:rPr>
          <w:szCs w:val="22"/>
        </w:rPr>
      </w:pPr>
      <w:r>
        <w:rPr>
          <w:szCs w:val="22"/>
        </w:rPr>
        <w:t xml:space="preserve">The fact that some UEs are only </w:t>
      </w:r>
      <w:proofErr w:type="spellStart"/>
      <w:r>
        <w:rPr>
          <w:szCs w:val="22"/>
        </w:rPr>
        <w:t>pageable</w:t>
      </w:r>
      <w:proofErr w:type="spellEnd"/>
      <w:r>
        <w:rPr>
          <w:szCs w:val="22"/>
        </w:rPr>
        <w:t xml:space="preserve"> in the anchor PRB introduces some additional difficulties that should be resolved. Consider the following example:</w:t>
      </w:r>
    </w:p>
    <w:p w14:paraId="4154F620" w14:textId="73E7E3E3" w:rsidR="008217EF" w:rsidRDefault="008217EF" w:rsidP="008217EF">
      <w:pPr>
        <w:pStyle w:val="LGTdoc0"/>
        <w:numPr>
          <w:ilvl w:val="0"/>
          <w:numId w:val="12"/>
        </w:numPr>
        <w:spacing w:afterLines="0" w:after="120" w:line="240" w:lineRule="auto"/>
        <w:rPr>
          <w:szCs w:val="22"/>
        </w:rPr>
      </w:pPr>
      <w:r>
        <w:rPr>
          <w:szCs w:val="22"/>
        </w:rPr>
        <w:t>There are 50% of Rel-13 UE, and 50% of Rel-14 UE in a particular cell.</w:t>
      </w:r>
    </w:p>
    <w:p w14:paraId="65C5E4D0" w14:textId="0D338EBE" w:rsidR="008217EF" w:rsidRDefault="008217EF" w:rsidP="008217EF">
      <w:pPr>
        <w:pStyle w:val="LGTdoc0"/>
        <w:numPr>
          <w:ilvl w:val="0"/>
          <w:numId w:val="12"/>
        </w:numPr>
        <w:spacing w:afterLines="0" w:after="120" w:line="240" w:lineRule="auto"/>
        <w:rPr>
          <w:szCs w:val="22"/>
        </w:rPr>
      </w:pPr>
      <w:r>
        <w:rPr>
          <w:szCs w:val="22"/>
        </w:rPr>
        <w:t>The network configures 2 PRB for paging (anchor + 1 non-anchor).</w:t>
      </w:r>
    </w:p>
    <w:p w14:paraId="07BA3297" w14:textId="782F14AA" w:rsidR="008217EF" w:rsidRDefault="008217EF" w:rsidP="008217EF">
      <w:pPr>
        <w:pStyle w:val="LGTdoc0"/>
        <w:numPr>
          <w:ilvl w:val="0"/>
          <w:numId w:val="12"/>
        </w:numPr>
        <w:spacing w:afterLines="0" w:after="120" w:line="240" w:lineRule="auto"/>
        <w:rPr>
          <w:szCs w:val="22"/>
        </w:rPr>
      </w:pPr>
      <w:r>
        <w:rPr>
          <w:szCs w:val="22"/>
        </w:rPr>
        <w:t xml:space="preserve">If the PRB is selected following a similar scheme as </w:t>
      </w:r>
      <w:proofErr w:type="spellStart"/>
      <w:r>
        <w:rPr>
          <w:szCs w:val="22"/>
        </w:rPr>
        <w:t>eMTC</w:t>
      </w:r>
      <w:proofErr w:type="spellEnd"/>
      <w:r>
        <w:rPr>
          <w:szCs w:val="22"/>
        </w:rPr>
        <w:t>, this would be the paging load</w:t>
      </w:r>
    </w:p>
    <w:p w14:paraId="0DF7D83B" w14:textId="37EAE2FA" w:rsidR="008217EF" w:rsidRDefault="008217EF" w:rsidP="008217EF">
      <w:pPr>
        <w:pStyle w:val="LGTdoc0"/>
        <w:numPr>
          <w:ilvl w:val="1"/>
          <w:numId w:val="12"/>
        </w:numPr>
        <w:spacing w:afterLines="0" w:after="120" w:line="240" w:lineRule="auto"/>
        <w:rPr>
          <w:szCs w:val="22"/>
        </w:rPr>
      </w:pPr>
      <w:r>
        <w:rPr>
          <w:szCs w:val="22"/>
        </w:rPr>
        <w:t>All the Rel-13 UE are paged in the anchor PRB</w:t>
      </w:r>
    </w:p>
    <w:p w14:paraId="4138B7AB" w14:textId="63AF3A43" w:rsidR="008217EF" w:rsidRDefault="008217EF" w:rsidP="008217EF">
      <w:pPr>
        <w:pStyle w:val="LGTdoc0"/>
        <w:numPr>
          <w:ilvl w:val="1"/>
          <w:numId w:val="12"/>
        </w:numPr>
        <w:spacing w:afterLines="0" w:after="120" w:line="240" w:lineRule="auto"/>
        <w:rPr>
          <w:szCs w:val="22"/>
        </w:rPr>
      </w:pPr>
      <w:r>
        <w:rPr>
          <w:szCs w:val="22"/>
        </w:rPr>
        <w:t xml:space="preserve">Of the Rel-14 UE, half of them are paged in the anchor, the other half in the </w:t>
      </w:r>
      <w:proofErr w:type="spellStart"/>
      <w:r>
        <w:rPr>
          <w:szCs w:val="22"/>
        </w:rPr>
        <w:t>non anchor</w:t>
      </w:r>
      <w:proofErr w:type="spellEnd"/>
    </w:p>
    <w:p w14:paraId="49127214" w14:textId="42AB5CFA" w:rsidR="008217EF" w:rsidRDefault="008217EF" w:rsidP="008217EF">
      <w:pPr>
        <w:pStyle w:val="LGTdoc0"/>
        <w:numPr>
          <w:ilvl w:val="1"/>
          <w:numId w:val="12"/>
        </w:numPr>
        <w:spacing w:afterLines="0" w:after="120" w:line="240" w:lineRule="auto"/>
        <w:rPr>
          <w:szCs w:val="22"/>
        </w:rPr>
      </w:pPr>
      <w:r>
        <w:rPr>
          <w:szCs w:val="22"/>
        </w:rPr>
        <w:t>The resulting load is:</w:t>
      </w:r>
    </w:p>
    <w:p w14:paraId="545B03BD" w14:textId="73ECF3A7" w:rsidR="008217EF" w:rsidRDefault="008217EF" w:rsidP="008217EF">
      <w:pPr>
        <w:pStyle w:val="LGTdoc0"/>
        <w:numPr>
          <w:ilvl w:val="2"/>
          <w:numId w:val="12"/>
        </w:numPr>
        <w:spacing w:afterLines="0" w:after="120" w:line="240" w:lineRule="auto"/>
        <w:rPr>
          <w:szCs w:val="22"/>
        </w:rPr>
      </w:pPr>
      <w:r>
        <w:rPr>
          <w:szCs w:val="22"/>
        </w:rPr>
        <w:t>75% of UEs are paged in anchor</w:t>
      </w:r>
    </w:p>
    <w:p w14:paraId="741C120A" w14:textId="5E76B434" w:rsidR="008217EF" w:rsidRDefault="008217EF" w:rsidP="008217EF">
      <w:pPr>
        <w:pStyle w:val="LGTdoc0"/>
        <w:numPr>
          <w:ilvl w:val="2"/>
          <w:numId w:val="12"/>
        </w:numPr>
        <w:spacing w:afterLines="0" w:after="120" w:line="240" w:lineRule="auto"/>
        <w:rPr>
          <w:szCs w:val="22"/>
        </w:rPr>
      </w:pPr>
      <w:r>
        <w:rPr>
          <w:szCs w:val="22"/>
        </w:rPr>
        <w:t>25% are paged in non-anchor</w:t>
      </w:r>
    </w:p>
    <w:p w14:paraId="0D85E0DB" w14:textId="060F4978" w:rsidR="008217EF" w:rsidRPr="008217EF" w:rsidRDefault="008217EF" w:rsidP="008217EF">
      <w:pPr>
        <w:pStyle w:val="LGTdoc0"/>
        <w:spacing w:afterLines="0" w:after="120" w:line="240" w:lineRule="auto"/>
        <w:rPr>
          <w:b/>
          <w:szCs w:val="22"/>
        </w:rPr>
      </w:pPr>
      <w:r w:rsidRPr="008217EF">
        <w:rPr>
          <w:b/>
          <w:szCs w:val="22"/>
          <w:u w:val="single"/>
        </w:rPr>
        <w:t>Observation 2:</w:t>
      </w:r>
      <w:r>
        <w:rPr>
          <w:b/>
          <w:szCs w:val="22"/>
        </w:rPr>
        <w:t xml:space="preserve"> Due to Rel-13 UEs being paged only in anchor PRB, the loading distribution among PRBs can be uneven.</w:t>
      </w:r>
    </w:p>
    <w:p w14:paraId="644C4EC4" w14:textId="65547DE4" w:rsidR="008217EF" w:rsidRDefault="008217EF" w:rsidP="008217EF">
      <w:pPr>
        <w:pStyle w:val="LGTdoc0"/>
        <w:spacing w:afterLines="0" w:after="120" w:line="240" w:lineRule="auto"/>
        <w:rPr>
          <w:szCs w:val="22"/>
        </w:rPr>
      </w:pPr>
      <w:r>
        <w:rPr>
          <w:szCs w:val="22"/>
        </w:rPr>
        <w:t>There are some examples where this difference can be even higher. For example, if a cell is operating near its paging capacity with only Rel-13 users, it would be desirable to have all the Rel-14 users being paged in a non-anchor PRB. In the opposite case, e.g. 25% of Rel-13 UEs, 75% of Rel-14 UEs, it would be desirable to move 1/3 of the Rel-14 UEs to the anchor PRB such that the final distribution is uniform. In general, a way to uniformly spread the total number of UEs in the cell across the different PRBs is to distribute Rel-14 UEs in a non-uniform way among anchor and non-anchor PRBs.</w:t>
      </w:r>
    </w:p>
    <w:p w14:paraId="3FA22031" w14:textId="0BAFC4B8" w:rsidR="008217EF" w:rsidRPr="008217EF" w:rsidRDefault="008217EF" w:rsidP="008217EF">
      <w:pPr>
        <w:pStyle w:val="LGTdoc0"/>
        <w:spacing w:afterLines="0" w:after="120" w:line="240" w:lineRule="auto"/>
        <w:rPr>
          <w:b/>
          <w:szCs w:val="22"/>
        </w:rPr>
      </w:pPr>
      <w:r w:rsidRPr="008217EF">
        <w:rPr>
          <w:b/>
          <w:szCs w:val="22"/>
          <w:u w:val="single"/>
        </w:rPr>
        <w:t>Proposal 2</w:t>
      </w:r>
      <w:r>
        <w:rPr>
          <w:b/>
          <w:szCs w:val="22"/>
          <w:u w:val="single"/>
        </w:rPr>
        <w:t>:</w:t>
      </w:r>
      <w:r>
        <w:rPr>
          <w:b/>
          <w:szCs w:val="22"/>
        </w:rPr>
        <w:t xml:space="preserve"> Introduce a mechanism to distribute Rel-14 UEs in a non-uniform way across anchor and non-anchor PRBs.</w:t>
      </w:r>
    </w:p>
    <w:p w14:paraId="59BC3905" w14:textId="46EBE641" w:rsidR="00AF23DF" w:rsidRDefault="008217EF" w:rsidP="00180683">
      <w:pPr>
        <w:pStyle w:val="LGTdoc0"/>
        <w:spacing w:afterLines="0" w:after="120" w:line="240" w:lineRule="auto"/>
        <w:rPr>
          <w:szCs w:val="22"/>
        </w:rPr>
      </w:pPr>
      <w:r>
        <w:rPr>
          <w:szCs w:val="22"/>
        </w:rPr>
        <w:t>One possible mechanism to enable this non-uniform distribution is as follows:</w:t>
      </w:r>
    </w:p>
    <w:p w14:paraId="3AED914C" w14:textId="7C6B6FD7" w:rsidR="008217EF" w:rsidRDefault="008217EF" w:rsidP="008217EF">
      <w:pPr>
        <w:pStyle w:val="LGTdoc0"/>
        <w:numPr>
          <w:ilvl w:val="0"/>
          <w:numId w:val="12"/>
        </w:numPr>
        <w:spacing w:afterLines="0" w:after="120" w:line="240" w:lineRule="auto"/>
        <w:rPr>
          <w:szCs w:val="22"/>
        </w:rPr>
      </w:pPr>
      <w:r>
        <w:rPr>
          <w:szCs w:val="22"/>
        </w:rPr>
        <w:t xml:space="preserve">In SIB, when enumerating the PRBs used for paging, assign a </w:t>
      </w:r>
      <w:r>
        <w:rPr>
          <w:i/>
          <w:szCs w:val="22"/>
        </w:rPr>
        <w:t>weight</w:t>
      </w:r>
      <w:r>
        <w:rPr>
          <w:szCs w:val="22"/>
        </w:rPr>
        <w:t xml:space="preserve"> to all of them. For example, consider that two PRBs are available for paging:</w:t>
      </w:r>
    </w:p>
    <w:p w14:paraId="1127B41A" w14:textId="7A28634B" w:rsidR="008217EF" w:rsidRDefault="008217EF" w:rsidP="008217EF">
      <w:pPr>
        <w:pStyle w:val="LGTdoc0"/>
        <w:numPr>
          <w:ilvl w:val="1"/>
          <w:numId w:val="12"/>
        </w:numPr>
        <w:spacing w:afterLines="0" w:after="120" w:line="240" w:lineRule="auto"/>
        <w:rPr>
          <w:szCs w:val="22"/>
        </w:rPr>
      </w:pPr>
      <w:r>
        <w:rPr>
          <w:szCs w:val="22"/>
        </w:rPr>
        <w:t>Anchor PRB: weight 1</w:t>
      </w:r>
    </w:p>
    <w:p w14:paraId="7A7622D6" w14:textId="2B345A12" w:rsidR="008217EF" w:rsidRDefault="008217EF" w:rsidP="008217EF">
      <w:pPr>
        <w:pStyle w:val="LGTdoc0"/>
        <w:numPr>
          <w:ilvl w:val="1"/>
          <w:numId w:val="12"/>
        </w:numPr>
        <w:spacing w:afterLines="0" w:after="120" w:line="240" w:lineRule="auto"/>
        <w:rPr>
          <w:szCs w:val="22"/>
        </w:rPr>
      </w:pPr>
      <w:r>
        <w:rPr>
          <w:szCs w:val="22"/>
        </w:rPr>
        <w:t>Non anchor PRB: weight 2</w:t>
      </w:r>
    </w:p>
    <w:p w14:paraId="67866DEF" w14:textId="3748FFDF" w:rsidR="008217EF" w:rsidRDefault="008217EF" w:rsidP="008217EF">
      <w:pPr>
        <w:pStyle w:val="LGTdoc0"/>
        <w:numPr>
          <w:ilvl w:val="0"/>
          <w:numId w:val="12"/>
        </w:numPr>
        <w:spacing w:afterLines="0" w:after="120" w:line="240" w:lineRule="auto"/>
        <w:rPr>
          <w:szCs w:val="22"/>
        </w:rPr>
      </w:pPr>
      <w:r>
        <w:rPr>
          <w:szCs w:val="22"/>
        </w:rPr>
        <w:t>From these weights, we generate a set of virtual PRBs, where each PRB has associated as many VRB as its weight indicates</w:t>
      </w:r>
    </w:p>
    <w:p w14:paraId="4A3EDF21" w14:textId="6B80D713" w:rsidR="008217EF" w:rsidRDefault="008217EF" w:rsidP="008217EF">
      <w:pPr>
        <w:pStyle w:val="LGTdoc0"/>
        <w:numPr>
          <w:ilvl w:val="1"/>
          <w:numId w:val="12"/>
        </w:numPr>
        <w:spacing w:afterLines="0" w:after="120" w:line="240" w:lineRule="auto"/>
        <w:rPr>
          <w:szCs w:val="22"/>
        </w:rPr>
      </w:pPr>
      <w:r>
        <w:rPr>
          <w:szCs w:val="22"/>
        </w:rPr>
        <w:t>VRB0 : Anchor PRB</w:t>
      </w:r>
    </w:p>
    <w:p w14:paraId="2B976EC2" w14:textId="48C7E27F" w:rsidR="008217EF" w:rsidRDefault="008217EF" w:rsidP="008217EF">
      <w:pPr>
        <w:pStyle w:val="LGTdoc0"/>
        <w:numPr>
          <w:ilvl w:val="1"/>
          <w:numId w:val="12"/>
        </w:numPr>
        <w:spacing w:afterLines="0" w:after="120" w:line="240" w:lineRule="auto"/>
        <w:rPr>
          <w:szCs w:val="22"/>
        </w:rPr>
      </w:pPr>
      <w:r>
        <w:rPr>
          <w:szCs w:val="22"/>
        </w:rPr>
        <w:t>VRB1: Non-anchor PRB</w:t>
      </w:r>
    </w:p>
    <w:p w14:paraId="068CF0C5" w14:textId="0203C208" w:rsidR="008217EF" w:rsidRDefault="008217EF" w:rsidP="008217EF">
      <w:pPr>
        <w:pStyle w:val="LGTdoc0"/>
        <w:numPr>
          <w:ilvl w:val="1"/>
          <w:numId w:val="12"/>
        </w:numPr>
        <w:spacing w:afterLines="0" w:after="120" w:line="240" w:lineRule="auto"/>
        <w:rPr>
          <w:szCs w:val="22"/>
        </w:rPr>
      </w:pPr>
      <w:r>
        <w:rPr>
          <w:szCs w:val="22"/>
        </w:rPr>
        <w:t>VRB2: Non-anchor PRB</w:t>
      </w:r>
    </w:p>
    <w:p w14:paraId="67FD787A" w14:textId="237F4697" w:rsidR="008217EF" w:rsidRDefault="008217EF" w:rsidP="008217EF">
      <w:pPr>
        <w:pStyle w:val="LGTdoc0"/>
        <w:numPr>
          <w:ilvl w:val="0"/>
          <w:numId w:val="12"/>
        </w:numPr>
        <w:spacing w:afterLines="0" w:after="120" w:line="240" w:lineRule="auto"/>
        <w:rPr>
          <w:szCs w:val="22"/>
        </w:rPr>
      </w:pPr>
      <w:r>
        <w:rPr>
          <w:szCs w:val="22"/>
        </w:rPr>
        <w:t>The UE selects uniformly among the VRB</w:t>
      </w:r>
      <w:r w:rsidR="004410B2">
        <w:rPr>
          <w:szCs w:val="22"/>
        </w:rPr>
        <w:t xml:space="preserve"> (based on a formula similar to the one in </w:t>
      </w:r>
      <w:proofErr w:type="spellStart"/>
      <w:r w:rsidR="004410B2">
        <w:rPr>
          <w:szCs w:val="22"/>
        </w:rPr>
        <w:t>eMTC</w:t>
      </w:r>
      <w:proofErr w:type="spellEnd"/>
      <w:r w:rsidR="004410B2">
        <w:rPr>
          <w:szCs w:val="22"/>
        </w:rPr>
        <w:t>)</w:t>
      </w:r>
      <w:r>
        <w:rPr>
          <w:szCs w:val="22"/>
        </w:rPr>
        <w:t>, and then monitors paging in the corresponding PRB. This results in:</w:t>
      </w:r>
    </w:p>
    <w:p w14:paraId="3489DA2A" w14:textId="590E4BF3" w:rsidR="008217EF" w:rsidRDefault="008217EF" w:rsidP="008217EF">
      <w:pPr>
        <w:pStyle w:val="LGTdoc0"/>
        <w:numPr>
          <w:ilvl w:val="1"/>
          <w:numId w:val="12"/>
        </w:numPr>
        <w:spacing w:afterLines="0" w:after="120" w:line="240" w:lineRule="auto"/>
        <w:rPr>
          <w:szCs w:val="22"/>
        </w:rPr>
      </w:pPr>
      <w:r>
        <w:rPr>
          <w:szCs w:val="22"/>
        </w:rPr>
        <w:t>1/3 of the Rel-14 UEs being paged in the anchor PRB</w:t>
      </w:r>
    </w:p>
    <w:p w14:paraId="6F88400E" w14:textId="3D47894F" w:rsidR="008217EF" w:rsidRDefault="008217EF" w:rsidP="008217EF">
      <w:pPr>
        <w:pStyle w:val="LGTdoc0"/>
        <w:numPr>
          <w:ilvl w:val="1"/>
          <w:numId w:val="12"/>
        </w:numPr>
        <w:spacing w:afterLines="0" w:after="120" w:line="240" w:lineRule="auto"/>
        <w:rPr>
          <w:szCs w:val="22"/>
        </w:rPr>
      </w:pPr>
      <w:r>
        <w:rPr>
          <w:szCs w:val="22"/>
        </w:rPr>
        <w:t>2/3 of the Rel-14 UEs being paged in the non-anchor PRB</w:t>
      </w:r>
    </w:p>
    <w:p w14:paraId="7FC7E2B1" w14:textId="52996F68" w:rsidR="008217EF" w:rsidRDefault="008217EF" w:rsidP="008217EF">
      <w:pPr>
        <w:pStyle w:val="LGTdoc0"/>
        <w:spacing w:afterLines="0" w:after="120" w:line="240" w:lineRule="auto"/>
        <w:ind w:left="90"/>
        <w:rPr>
          <w:szCs w:val="22"/>
        </w:rPr>
      </w:pPr>
      <w:r>
        <w:rPr>
          <w:szCs w:val="22"/>
        </w:rPr>
        <w:t xml:space="preserve">With this simple implementation (that requires the signalling of one additional weight for each PRB, which should be negligible), the network has the flexibility to distribute UEs among different </w:t>
      </w:r>
      <w:proofErr w:type="spellStart"/>
      <w:r>
        <w:rPr>
          <w:szCs w:val="22"/>
        </w:rPr>
        <w:t>narrowbands</w:t>
      </w:r>
      <w:proofErr w:type="spellEnd"/>
      <w:r>
        <w:rPr>
          <w:szCs w:val="22"/>
        </w:rPr>
        <w:t xml:space="preserve"> depending on the expected load of UEs from different releases. </w:t>
      </w:r>
      <w:r w:rsidR="004410B2">
        <w:rPr>
          <w:szCs w:val="22"/>
        </w:rPr>
        <w:t xml:space="preserve">Additionally, if the load of UEs changes </w:t>
      </w:r>
      <w:r w:rsidR="004410B2">
        <w:rPr>
          <w:szCs w:val="22"/>
        </w:rPr>
        <w:lastRenderedPageBreak/>
        <w:t>over time, the network can change this value and/or add additional PRBs</w:t>
      </w:r>
      <w:bookmarkStart w:id="2" w:name="_GoBack"/>
      <w:bookmarkEnd w:id="2"/>
      <w:r w:rsidR="004410B2">
        <w:rPr>
          <w:szCs w:val="22"/>
        </w:rPr>
        <w:t xml:space="preserve"> to accommodate the new UEs.</w:t>
      </w:r>
    </w:p>
    <w:p w14:paraId="10A1AA18" w14:textId="2C844273" w:rsidR="0047204B" w:rsidRDefault="0047204B" w:rsidP="001A1D1C">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bookmarkEnd w:id="0"/>
    <w:bookmarkEnd w:id="1"/>
    <w:p w14:paraId="163647A1" w14:textId="77777777" w:rsidR="008217EF" w:rsidRDefault="008217EF" w:rsidP="008217EF">
      <w:pPr>
        <w:pStyle w:val="LGTdoc1"/>
        <w:spacing w:beforeLines="0" w:before="120" w:after="220" w:afterAutospacing="0"/>
        <w:rPr>
          <w:sz w:val="22"/>
          <w:szCs w:val="22"/>
        </w:rPr>
      </w:pPr>
      <w:r w:rsidRPr="008217EF">
        <w:rPr>
          <w:sz w:val="22"/>
          <w:szCs w:val="22"/>
          <w:u w:val="single"/>
        </w:rPr>
        <w:t>Proposal 1:</w:t>
      </w:r>
      <w:r>
        <w:rPr>
          <w:sz w:val="22"/>
          <w:szCs w:val="22"/>
        </w:rPr>
        <w:t xml:space="preserve"> Paging PRB selection is based on UE_ID, similar to </w:t>
      </w:r>
      <w:proofErr w:type="spellStart"/>
      <w:r>
        <w:rPr>
          <w:sz w:val="22"/>
          <w:szCs w:val="22"/>
        </w:rPr>
        <w:t>eMTC</w:t>
      </w:r>
      <w:proofErr w:type="spellEnd"/>
      <w:r>
        <w:rPr>
          <w:sz w:val="22"/>
          <w:szCs w:val="22"/>
        </w:rPr>
        <w:t>.</w:t>
      </w:r>
    </w:p>
    <w:p w14:paraId="6D31F847" w14:textId="77777777" w:rsidR="008217EF" w:rsidRPr="008217EF" w:rsidRDefault="008217EF" w:rsidP="008217EF">
      <w:pPr>
        <w:pStyle w:val="LGTdoc0"/>
        <w:spacing w:afterLines="0" w:after="120" w:line="240" w:lineRule="auto"/>
        <w:rPr>
          <w:b/>
          <w:szCs w:val="22"/>
        </w:rPr>
      </w:pPr>
      <w:r w:rsidRPr="008217EF">
        <w:rPr>
          <w:b/>
          <w:szCs w:val="22"/>
          <w:u w:val="single"/>
        </w:rPr>
        <w:t>Observation 1:</w:t>
      </w:r>
      <w:r>
        <w:rPr>
          <w:b/>
          <w:szCs w:val="22"/>
        </w:rPr>
        <w:t xml:space="preserve"> It is desirable to uniformly spread the UEs across the different paging PRBs to avoid blocking issues.</w:t>
      </w:r>
    </w:p>
    <w:p w14:paraId="1D9C93F8" w14:textId="77777777" w:rsidR="008217EF" w:rsidRPr="008217EF" w:rsidRDefault="008217EF" w:rsidP="008217EF">
      <w:pPr>
        <w:pStyle w:val="LGTdoc0"/>
        <w:spacing w:afterLines="0" w:after="120" w:line="240" w:lineRule="auto"/>
        <w:rPr>
          <w:b/>
          <w:szCs w:val="22"/>
        </w:rPr>
      </w:pPr>
      <w:r w:rsidRPr="008217EF">
        <w:rPr>
          <w:b/>
          <w:szCs w:val="22"/>
          <w:u w:val="single"/>
        </w:rPr>
        <w:t>Observation 2:</w:t>
      </w:r>
      <w:r>
        <w:rPr>
          <w:b/>
          <w:szCs w:val="22"/>
        </w:rPr>
        <w:t xml:space="preserve"> Due to Rel-13 UEs being paged only in anchor PRB, the loading distribution among PRBs can be uneven.</w:t>
      </w:r>
    </w:p>
    <w:p w14:paraId="6B1C68D6" w14:textId="77777777" w:rsidR="008217EF" w:rsidRPr="008217EF" w:rsidRDefault="008217EF" w:rsidP="008217EF">
      <w:pPr>
        <w:pStyle w:val="LGTdoc0"/>
        <w:spacing w:afterLines="0" w:after="120" w:line="240" w:lineRule="auto"/>
        <w:rPr>
          <w:b/>
          <w:szCs w:val="22"/>
        </w:rPr>
      </w:pPr>
      <w:r w:rsidRPr="008217EF">
        <w:rPr>
          <w:b/>
          <w:szCs w:val="22"/>
          <w:u w:val="single"/>
        </w:rPr>
        <w:t>Proposal 2</w:t>
      </w:r>
      <w:r>
        <w:rPr>
          <w:b/>
          <w:szCs w:val="22"/>
          <w:u w:val="single"/>
        </w:rPr>
        <w:t>:</w:t>
      </w:r>
      <w:r>
        <w:rPr>
          <w:b/>
          <w:szCs w:val="22"/>
        </w:rPr>
        <w:t xml:space="preserve"> Introduce a mechanism to distribute Rel-14 UEs in a non-uniform way across anchor and non-anchor PRBs.</w:t>
      </w:r>
    </w:p>
    <w:p w14:paraId="18F2BF66" w14:textId="77777777" w:rsidR="00113AF5" w:rsidRPr="00C872FE" w:rsidRDefault="00113AF5" w:rsidP="006F5C8E">
      <w:pPr>
        <w:pStyle w:val="LGTdoc1"/>
        <w:spacing w:beforeLines="0" w:before="120" w:after="220" w:afterAutospacing="0"/>
        <w:rPr>
          <w:b w:val="0"/>
          <w:sz w:val="22"/>
          <w:szCs w:val="22"/>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2DFA7387" w14:textId="04E99910" w:rsidR="007560B7" w:rsidRDefault="00E77804" w:rsidP="00FF47FD">
      <w:pPr>
        <w:pStyle w:val="LGTdoc1"/>
        <w:spacing w:before="120" w:after="220"/>
        <w:rPr>
          <w:b w:val="0"/>
          <w:sz w:val="22"/>
          <w:szCs w:val="22"/>
        </w:rPr>
      </w:pPr>
      <w:r w:rsidRPr="00FF47FD">
        <w:rPr>
          <w:b w:val="0"/>
          <w:sz w:val="22"/>
          <w:szCs w:val="22"/>
        </w:rPr>
        <w:t xml:space="preserve">[1] </w:t>
      </w:r>
      <w:r w:rsidR="0047204B" w:rsidRPr="0047204B">
        <w:rPr>
          <w:b w:val="0"/>
          <w:sz w:val="22"/>
          <w:szCs w:val="22"/>
        </w:rPr>
        <w:t>RP-161324</w:t>
      </w:r>
      <w:r w:rsidRPr="00FF47FD">
        <w:rPr>
          <w:b w:val="0"/>
          <w:sz w:val="22"/>
          <w:szCs w:val="22"/>
        </w:rPr>
        <w:t>, “</w:t>
      </w:r>
      <w:r w:rsidR="0047204B" w:rsidRPr="0047204B">
        <w:rPr>
          <w:b w:val="0"/>
          <w:sz w:val="22"/>
          <w:szCs w:val="22"/>
        </w:rPr>
        <w:t xml:space="preserve">New work item proposal: Enhancements of NB-IoT </w:t>
      </w:r>
      <w:r w:rsidRPr="00FF47FD">
        <w:rPr>
          <w:b w:val="0"/>
          <w:sz w:val="22"/>
          <w:szCs w:val="22"/>
        </w:rPr>
        <w:t>“,</w:t>
      </w:r>
      <w:r w:rsidR="0047204B" w:rsidRPr="0047204B">
        <w:rPr>
          <w:b w:val="0"/>
          <w:sz w:val="22"/>
          <w:szCs w:val="22"/>
        </w:rPr>
        <w:t>Vodafone, Huawei, HiSilicon, Ericsson, Qualcomm</w:t>
      </w:r>
      <w:r w:rsidR="00EF71A8" w:rsidRPr="00FF47FD">
        <w:rPr>
          <w:b w:val="0"/>
          <w:sz w:val="22"/>
          <w:szCs w:val="22"/>
        </w:rPr>
        <w:t xml:space="preserve"> </w:t>
      </w:r>
      <w:r w:rsidR="00FF47FD">
        <w:rPr>
          <w:b w:val="0"/>
          <w:sz w:val="22"/>
          <w:szCs w:val="22"/>
        </w:rPr>
        <w:t xml:space="preserve">3GPP TSG RAN Meeting #72, </w:t>
      </w:r>
      <w:r w:rsidR="00FF47FD" w:rsidRPr="00FF47FD">
        <w:rPr>
          <w:b w:val="0"/>
          <w:sz w:val="22"/>
          <w:szCs w:val="22"/>
        </w:rPr>
        <w:t>Busan, Korea, June 13 - 16, 2016</w:t>
      </w:r>
    </w:p>
    <w:sectPr w:rsidR="007560B7"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B1B64" w14:textId="77777777" w:rsidR="000C16A9" w:rsidRDefault="000C16A9">
      <w:r>
        <w:separator/>
      </w:r>
    </w:p>
  </w:endnote>
  <w:endnote w:type="continuationSeparator" w:id="0">
    <w:p w14:paraId="13A496C1" w14:textId="77777777" w:rsidR="000C16A9" w:rsidRDefault="000C16A9">
      <w:r>
        <w:continuationSeparator/>
      </w:r>
    </w:p>
  </w:endnote>
  <w:endnote w:type="continuationNotice" w:id="1">
    <w:p w14:paraId="7FFF1995" w14:textId="77777777" w:rsidR="000C16A9" w:rsidRDefault="000C16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10B2">
      <w:rPr>
        <w:rStyle w:val="PageNumber"/>
        <w:noProof/>
      </w:rPr>
      <w:t>1</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0F11B" w14:textId="77777777" w:rsidR="000C16A9" w:rsidRDefault="000C16A9">
      <w:r>
        <w:separator/>
      </w:r>
    </w:p>
  </w:footnote>
  <w:footnote w:type="continuationSeparator" w:id="0">
    <w:p w14:paraId="4A684234" w14:textId="77777777" w:rsidR="000C16A9" w:rsidRDefault="000C16A9">
      <w:r>
        <w:continuationSeparator/>
      </w:r>
    </w:p>
  </w:footnote>
  <w:footnote w:type="continuationNotice" w:id="1">
    <w:p w14:paraId="22B63334" w14:textId="77777777" w:rsidR="000C16A9" w:rsidRDefault="000C16A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27120AC8"/>
    <w:multiLevelType w:val="hybridMultilevel"/>
    <w:tmpl w:val="6FB0317A"/>
    <w:lvl w:ilvl="0" w:tplc="DFE60A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35F07766"/>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5"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8" w15:restartNumberingAfterBreak="0">
    <w:nsid w:val="71330E4C"/>
    <w:multiLevelType w:val="hybridMultilevel"/>
    <w:tmpl w:val="06F89AA8"/>
    <w:lvl w:ilvl="0" w:tplc="B27E082E">
      <w:start w:val="8"/>
      <w:numFmt w:val="bullet"/>
      <w:lvlText w:val="-"/>
      <w:lvlJc w:val="left"/>
      <w:pPr>
        <w:ind w:left="450" w:hanging="360"/>
      </w:pPr>
      <w:rPr>
        <w:rFonts w:ascii="Times New Roman" w:eastAsia="Batang" w:hAnsi="Times New Roman" w:cs="Times New Roman" w:hint="default"/>
        <w:b w:val="0"/>
        <w:sz w:val="22"/>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1"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5"/>
  </w:num>
  <w:num w:numId="2">
    <w:abstractNumId w:val="3"/>
  </w:num>
  <w:num w:numId="3">
    <w:abstractNumId w:val="6"/>
  </w:num>
  <w:num w:numId="4">
    <w:abstractNumId w:val="9"/>
  </w:num>
  <w:num w:numId="5">
    <w:abstractNumId w:val="10"/>
  </w:num>
  <w:num w:numId="6">
    <w:abstractNumId w:val="0"/>
  </w:num>
  <w:num w:numId="7">
    <w:abstractNumId w:val="11"/>
  </w:num>
  <w:num w:numId="8">
    <w:abstractNumId w:val="7"/>
  </w:num>
  <w:num w:numId="9">
    <w:abstractNumId w:val="2"/>
  </w:num>
  <w:num w:numId="10">
    <w:abstractNumId w:val="4"/>
  </w:num>
  <w:num w:numId="11">
    <w:abstractNumId w:val="1"/>
  </w:num>
  <w:num w:numId="1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6A9"/>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AF5"/>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3"/>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D1C"/>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0B2"/>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04B"/>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AA"/>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4FC"/>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C8D"/>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7A6"/>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7EF"/>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3DF"/>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2FE"/>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1E"/>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2BCF"/>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3CB"/>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4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626538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34E7-065A-41E7-BEC3-FDF83E4C53B7}">
  <ds:schemaRefs>
    <ds:schemaRef ds:uri="office.server.policy"/>
  </ds:schemaRefs>
</ds:datastoreItem>
</file>

<file path=customXml/itemProps2.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8F12ED3C-0D48-4650-B1D6-09BDC7ECE9EE}">
  <ds:schemaRefs>
    <ds:schemaRef ds:uri="http://schemas.openxmlformats.org/officeDocument/2006/bibliography"/>
  </ds:schemaRefs>
</ds:datastoreItem>
</file>

<file path=customXml/itemProps7.xml><?xml version="1.0" encoding="utf-8"?>
<ds:datastoreItem xmlns:ds="http://schemas.openxmlformats.org/officeDocument/2006/customXml" ds:itemID="{A8B92378-2585-41FF-BF2E-51887EC8E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1168</TotalTime>
  <Pages>3</Pages>
  <Words>994</Words>
  <Characters>5668</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6649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31</cp:revision>
  <cp:lastPrinted>2010-08-13T21:54:00Z</cp:lastPrinted>
  <dcterms:created xsi:type="dcterms:W3CDTF">2016-03-22T22:35:00Z</dcterms:created>
  <dcterms:modified xsi:type="dcterms:W3CDTF">2016-08-12T04:35:00Z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4c2f5d8d-864b-41f6-b49e-a6021d065a1a</vt:lpwstr>
  </property>
</Properties>
</file>